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98527F">
      <w:pPr>
        <w:keepNext/>
        <w:keepLines/>
        <w:spacing w:before="260" w:after="240" w:line="416" w:lineRule="auto"/>
        <w:outlineLvl w:val="1"/>
        <w:rPr>
          <w:rFonts w:hint="eastAsia" w:ascii="思源黑体 CN Normal" w:hAnsi="思源黑体 CN Normal" w:eastAsia="思源黑体 CN Normal" w:cs="Times New Roman"/>
          <w:sz w:val="24"/>
          <w:szCs w:val="24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4064000</wp:posOffset>
            </wp:positionH>
            <wp:positionV relativeFrom="paragraph">
              <wp:posOffset>11430</wp:posOffset>
            </wp:positionV>
            <wp:extent cx="2551430" cy="1326515"/>
            <wp:effectExtent l="0" t="0" r="1270" b="6985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51430" cy="1326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228600</wp:posOffset>
                </wp:positionV>
                <wp:extent cx="3819525" cy="357505"/>
                <wp:effectExtent l="0" t="0" r="10160" b="24130"/>
                <wp:wrapNone/>
                <wp:docPr id="145273936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9215" cy="357254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3175">
                          <a:solidFill>
                            <a:schemeClr val="accent5"/>
                          </a:solidFill>
                        </a:ln>
                      </wps:spPr>
                      <wps:txbx>
                        <w:txbxContent>
                          <w:p w14:paraId="697A12D3">
                            <w:pPr>
                              <w:spacing w:line="0" w:lineRule="atLeast"/>
                              <w:rPr>
                                <w:rFonts w:hint="default" w:eastAsiaTheme="minorEastAsia"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VHF Digital Active DAS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文本框 3" o:spid="_x0000_s1026" o:spt="2" style="position:absolute;left:0pt;margin-top:18pt;height:28.15pt;width:300.75pt;mso-position-horizontal:left;mso-position-horizontal-relative:margin;z-index:251659264;mso-width-relative:page;mso-height-relative:page;" fillcolor="#2E75B6 [2408]" filled="t" stroked="t" coordsize="21600,21600" arcsize="0.166666666666667" o:gfxdata="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Ctb4b11gAAAAYBAAAPAAAAAAAAAAEAIAAAACIA&#10;AABkcnMvZG93bnJldi54bWxQSwECFAAUAAAACACHTuJAPGRG030CAADoBAAADgAAAAAAAAABACAA&#10;AAAlAQAAZHJzL2Uyb0RvYy54bWxQSwUGAAAAAAYABgBZAQAAFAYAAAAA&#10;">
                <v:fill on="t" focussize="0,0"/>
                <v:stroke weight="0.25pt" color="#5B9BD5 [3208]" joinstyle="round"/>
                <v:imagedata o:title=""/>
                <o:lock v:ext="edit" aspectratio="f"/>
                <v:textbox>
                  <w:txbxContent>
                    <w:p w14:paraId="697A12D3">
                      <w:pPr>
                        <w:spacing w:line="0" w:lineRule="atLeast"/>
                        <w:rPr>
                          <w:rFonts w:hint="default" w:eastAsiaTheme="minorEastAsia"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VHF Digital Active DAS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FA1914E">
      <w:pPr>
        <w:rPr>
          <w:rFonts w:hint="default" w:ascii="思源黑体 CN Normal" w:hAnsi="思源黑体 CN Normal" w:eastAsia="思源黑体 CN Normal" w:cs="Times New Roman"/>
          <w:sz w:val="16"/>
          <w:szCs w:val="16"/>
          <w:lang w:val="en-US" w:eastAsia="zh-CN"/>
        </w:rPr>
      </w:pPr>
      <w:r>
        <w:rPr>
          <w:rFonts w:hint="eastAsia" w:ascii="思源黑体 CN Normal" w:hAnsi="思源黑体 CN Normal" w:eastAsia="思源黑体 CN Normal" w:cs="Times New Roman"/>
          <w:sz w:val="16"/>
          <w:szCs w:val="16"/>
          <w:lang w:val="es-MX"/>
        </w:rPr>
        <w:t>M</w:t>
      </w:r>
      <w:r>
        <w:rPr>
          <w:rFonts w:ascii="思源黑体 CN Normal" w:hAnsi="思源黑体 CN Normal" w:eastAsia="思源黑体 CN Normal" w:cs="Times New Roman"/>
          <w:sz w:val="16"/>
          <w:szCs w:val="16"/>
          <w:lang w:val="es-MX"/>
        </w:rPr>
        <w:t xml:space="preserve">odel: </w:t>
      </w:r>
      <w:r>
        <w:rPr>
          <w:rFonts w:hint="eastAsia" w:ascii="思源黑体 CN Normal" w:hAnsi="思源黑体 CN Normal" w:eastAsia="思源黑体 CN Normal" w:cs="Times New Roman"/>
          <w:sz w:val="16"/>
          <w:szCs w:val="16"/>
          <w:lang w:val="en-US" w:eastAsia="zh-CN"/>
        </w:rPr>
        <w:t>DS-OPT-VHF380</w:t>
      </w:r>
    </w:p>
    <w:p w14:paraId="44501588">
      <w:pPr>
        <w:keepNext/>
        <w:keepLines/>
        <w:spacing w:before="260" w:line="416" w:lineRule="auto"/>
        <w:outlineLvl w:val="1"/>
        <w:rPr>
          <w:rFonts w:hint="eastAsia"/>
          <w:color w:val="0075C2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P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roduct F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eatur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es:</w:t>
      </w:r>
    </w:p>
    <w:p w14:paraId="239A3412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Support multi-band system.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123E36CA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Digital bandwidth-adjustable features allow for seamless adaptability to different frequency bands.</w:t>
      </w:r>
      <w:r>
        <w:t xml:space="preserve"> </w:t>
      </w:r>
    </w:p>
    <w:p w14:paraId="6DCC6789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Optical transmission up to 10km (max.).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55ACDA2B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Support OMS Lite local/remote control.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633A96EF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Low noise and high reliability.</w:t>
      </w:r>
    </w:p>
    <w:p w14:paraId="59BD3D91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Each master unit can support max.16 remote units.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3A695446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Support to monitor donor signal parameters for easy optimization and troubleshooting.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.</w:t>
      </w:r>
    </w:p>
    <w:p w14:paraId="13D1A9AF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Application Scenario:</w:t>
      </w:r>
    </w:p>
    <w:p w14:paraId="494543A2">
      <w:pPr>
        <w:jc w:val="center"/>
        <w:rPr>
          <w:rFonts w:hint="eastAsia"/>
        </w:rPr>
      </w:pPr>
      <w:r>
        <w:drawing>
          <wp:inline distT="0" distB="0" distL="0" distR="0">
            <wp:extent cx="6120130" cy="2145665"/>
            <wp:effectExtent l="0" t="0" r="0" b="6985"/>
            <wp:docPr id="1991752169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752169" name="图片 3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14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BD682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Working Schematic Diagram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 xml:space="preserve"> </w:t>
      </w:r>
    </w:p>
    <w:p w14:paraId="4D14BA2F">
      <w:pPr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drawing>
          <wp:inline distT="0" distB="0" distL="0" distR="0">
            <wp:extent cx="4629785" cy="2088515"/>
            <wp:effectExtent l="0" t="0" r="0" b="6985"/>
            <wp:docPr id="50045516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455167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7688" cy="20920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CB5DEA">
      <w:pPr>
        <w:jc w:val="center"/>
        <w:rPr>
          <w:rFonts w:hint="eastAsia"/>
          <w:b/>
          <w:bCs/>
        </w:rPr>
      </w:pPr>
    </w:p>
    <w:p w14:paraId="75D2CAC8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T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echnical Specifications:</w:t>
      </w:r>
      <w:bookmarkStart w:id="0" w:name="_GoBack"/>
      <w:bookmarkEnd w:id="0"/>
    </w:p>
    <w:tbl>
      <w:tblPr>
        <w:tblStyle w:val="14"/>
        <w:tblW w:w="5000" w:type="pct"/>
        <w:tblInd w:w="0" w:type="dxa"/>
        <w:tblBorders>
          <w:top w:val="single" w:color="74B5E4" w:sz="4" w:space="0"/>
          <w:left w:val="single" w:color="74B5E4" w:sz="4" w:space="0"/>
          <w:bottom w:val="single" w:color="74B5E4" w:sz="4" w:space="0"/>
          <w:right w:val="single" w:color="74B5E4" w:sz="4" w:space="0"/>
          <w:insideH w:val="single" w:color="74B5E4" w:sz="4" w:space="0"/>
          <w:insideV w:val="single" w:color="74B5E4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1"/>
        <w:gridCol w:w="1885"/>
        <w:gridCol w:w="3043"/>
        <w:gridCol w:w="3041"/>
      </w:tblGrid>
      <w:tr w14:paraId="07E0CE6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tcBorders>
              <w:top w:val="single" w:color="2683C6" w:sz="4" w:space="0"/>
              <w:left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</w:tcPr>
          <w:p w14:paraId="00ECACE5">
            <w:pPr>
              <w:rPr>
                <w:rFonts w:hint="default" w:ascii="思源黑体 CN Normal" w:hAnsi="思源黑体 CN Normal" w:eastAsia="思源黑体 CN Normal" w:cs="Times New Roman"/>
                <w:sz w:val="16"/>
                <w:szCs w:val="16"/>
                <w:lang w:val="en-US" w:eastAsia="zh-CN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P/N: </w:t>
            </w:r>
            <w:r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  <w:lang w:val="en-US" w:eastAsia="zh-CN"/>
              </w:rPr>
              <w:t>DS-OPT-VHF380</w:t>
            </w:r>
          </w:p>
        </w:tc>
        <w:tc>
          <w:tcPr>
            <w:tcW w:w="1544" w:type="pct"/>
            <w:tcBorders>
              <w:top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</w:tcPr>
          <w:p w14:paraId="190F89D8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M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U</w:t>
            </w:r>
          </w:p>
        </w:tc>
        <w:tc>
          <w:tcPr>
            <w:tcW w:w="1543" w:type="pct"/>
            <w:tcBorders>
              <w:top w:val="single" w:color="2683C6" w:sz="4" w:space="0"/>
              <w:bottom w:val="single" w:color="2683C6" w:sz="4" w:space="0"/>
              <w:right w:val="single" w:color="2683C6" w:sz="4" w:space="0"/>
              <w:insideH w:val="single" w:sz="4" w:space="0"/>
              <w:insideV w:val="nil"/>
            </w:tcBorders>
            <w:shd w:val="clear" w:color="auto" w:fill="2683C6"/>
            <w:noWrap/>
          </w:tcPr>
          <w:p w14:paraId="0427D9F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R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U</w:t>
            </w:r>
          </w:p>
        </w:tc>
      </w:tr>
      <w:tr w14:paraId="2898C0F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55" w:type="pct"/>
            <w:vMerge w:val="restart"/>
            <w:shd w:val="clear" w:color="auto" w:fill="D0E6F6"/>
            <w:noWrap/>
          </w:tcPr>
          <w:p w14:paraId="21E27BCE">
            <w:pPr>
              <w:jc w:val="center"/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Frequency Range</w:t>
            </w:r>
          </w:p>
        </w:tc>
        <w:tc>
          <w:tcPr>
            <w:tcW w:w="956" w:type="pct"/>
            <w:gridSpan w:val="2"/>
            <w:shd w:val="clear" w:color="auto" w:fill="D0E6F6"/>
            <w:vAlign w:val="top"/>
          </w:tcPr>
          <w:p w14:paraId="1AE557D8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Uplink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636D96E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380</w:t>
            </w: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~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385</w:t>
            </w: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MHz   (adjustable)</w:t>
            </w:r>
          </w:p>
        </w:tc>
      </w:tr>
      <w:tr w14:paraId="518CB1F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55" w:type="pct"/>
            <w:vMerge w:val="continue"/>
            <w:noWrap/>
          </w:tcPr>
          <w:p w14:paraId="1A83B18F">
            <w:pPr>
              <w:jc w:val="left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956" w:type="pct"/>
            <w:gridSpan w:val="2"/>
            <w:vAlign w:val="top"/>
          </w:tcPr>
          <w:p w14:paraId="4FDD7386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Downlink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57E6EFD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390</w:t>
            </w: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~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395</w:t>
            </w: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MHz (adjustable)</w:t>
            </w:r>
          </w:p>
        </w:tc>
      </w:tr>
      <w:tr w14:paraId="54B156C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75D100C5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Maximum Input Power   (Non-Destructive)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18BE3985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10   dBm</w:t>
            </w:r>
          </w:p>
        </w:tc>
      </w:tr>
      <w:tr w14:paraId="178734A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12" w:type="pct"/>
            <w:gridSpan w:val="3"/>
            <w:noWrap/>
            <w:vAlign w:val="top"/>
          </w:tcPr>
          <w:p w14:paraId="77D69776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Transmission   Distance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2F241D5D">
            <w:pPr>
              <w:jc w:val="center"/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≤ 20km</w:t>
            </w:r>
          </w:p>
        </w:tc>
      </w:tr>
      <w:tr w14:paraId="46AF725C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0B540DA5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Maximum RF Output   Power</w:t>
            </w:r>
          </w:p>
        </w:tc>
        <w:tc>
          <w:tcPr>
            <w:tcW w:w="1544" w:type="pct"/>
            <w:shd w:val="clear" w:color="auto" w:fill="D0E6F6"/>
            <w:noWrap/>
            <w:vAlign w:val="top"/>
          </w:tcPr>
          <w:p w14:paraId="329C310F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-10±2dBm   (UL)</w:t>
            </w:r>
          </w:p>
        </w:tc>
        <w:tc>
          <w:tcPr>
            <w:tcW w:w="1543" w:type="pct"/>
            <w:shd w:val="clear" w:color="auto" w:fill="D0E6F6"/>
            <w:noWrap/>
            <w:vAlign w:val="top"/>
          </w:tcPr>
          <w:p w14:paraId="2D12D62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33±2dBm   (DL)</w:t>
            </w:r>
          </w:p>
        </w:tc>
      </w:tr>
      <w:tr w14:paraId="7701879E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</w:tcPr>
          <w:p w14:paraId="38FBC987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Number of Units</w:t>
            </w:r>
          </w:p>
        </w:tc>
        <w:tc>
          <w:tcPr>
            <w:tcW w:w="1544" w:type="pct"/>
            <w:noWrap/>
          </w:tcPr>
          <w:p w14:paraId="3C6D54E6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</w:t>
            </w:r>
          </w:p>
        </w:tc>
        <w:tc>
          <w:tcPr>
            <w:tcW w:w="1543" w:type="pct"/>
          </w:tcPr>
          <w:p w14:paraId="2E6F183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 16</w:t>
            </w:r>
          </w:p>
        </w:tc>
      </w:tr>
      <w:tr w14:paraId="07E2BBF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10BC9FBA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Maximum   Gain (Cable Access)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2F4868A1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50±2dB</w:t>
            </w:r>
          </w:p>
        </w:tc>
      </w:tr>
      <w:tr w14:paraId="2852060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20518D2F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Gain Adjustment Range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73A1FC1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1~25   dB @ step of 1 dB</w:t>
            </w:r>
          </w:p>
        </w:tc>
      </w:tr>
      <w:tr w14:paraId="24E2DF5D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6DBD3EF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VSWR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10263599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1.6</w:t>
            </w:r>
          </w:p>
        </w:tc>
      </w:tr>
      <w:tr w14:paraId="5ED9169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2E9FAFC7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Noise Figure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3F273996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5dB (Only for Uplink)</w:t>
            </w:r>
          </w:p>
        </w:tc>
      </w:tr>
      <w:tr w14:paraId="3487462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49449CA9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In-band   Ripple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683AD84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≤3.5dB</w:t>
            </w:r>
          </w:p>
        </w:tc>
      </w:tr>
      <w:tr w14:paraId="3956236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6F2AA04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Spurious Emission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5154B2A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-36dBm</w:t>
            </w:r>
          </w:p>
        </w:tc>
      </w:tr>
      <w:tr w14:paraId="16313D2D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vAlign w:val="top"/>
          </w:tcPr>
          <w:p w14:paraId="0A9E472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Third-Order   Inter-Modulation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48F5BBC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-45dBc / 30kHz</w:t>
            </w:r>
          </w:p>
        </w:tc>
      </w:tr>
      <w:tr w14:paraId="33AC38B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vAlign w:val="top"/>
          </w:tcPr>
          <w:p w14:paraId="1DC2C1A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System Delay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61A28A9B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≤21㎲</w:t>
            </w:r>
          </w:p>
        </w:tc>
      </w:tr>
      <w:tr w14:paraId="176306E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14553AB7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I/O   Impedance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24BA3A80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50Ω</w:t>
            </w:r>
          </w:p>
        </w:tc>
      </w:tr>
      <w:tr w14:paraId="4C98E95A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956" w:type="pct"/>
            <w:gridSpan w:val="2"/>
            <w:vMerge w:val="restart"/>
            <w:noWrap/>
            <w:vAlign w:val="top"/>
          </w:tcPr>
          <w:p w14:paraId="283A448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Connector</w:t>
            </w:r>
          </w:p>
        </w:tc>
        <w:tc>
          <w:tcPr>
            <w:tcW w:w="956" w:type="pct"/>
            <w:noWrap/>
            <w:vAlign w:val="top"/>
          </w:tcPr>
          <w:p w14:paraId="15458EA6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RF Connector</w:t>
            </w:r>
          </w:p>
        </w:tc>
        <w:tc>
          <w:tcPr>
            <w:tcW w:w="1544" w:type="pct"/>
            <w:noWrap/>
            <w:vAlign w:val="top"/>
          </w:tcPr>
          <w:p w14:paraId="21ED13BA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1Xn-Female</w:t>
            </w:r>
          </w:p>
        </w:tc>
        <w:tc>
          <w:tcPr>
            <w:tcW w:w="1543" w:type="pct"/>
            <w:vAlign w:val="top"/>
          </w:tcPr>
          <w:p w14:paraId="5E64658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1xN-Female</w:t>
            </w:r>
          </w:p>
        </w:tc>
      </w:tr>
      <w:tr w14:paraId="100375E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956" w:type="pct"/>
            <w:gridSpan w:val="2"/>
            <w:vMerge w:val="continue"/>
            <w:noWrap/>
            <w:vAlign w:val="top"/>
          </w:tcPr>
          <w:p w14:paraId="6D5FC4C2">
            <w:pPr>
              <w:jc w:val="center"/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956" w:type="pct"/>
            <w:noWrap/>
            <w:vAlign w:val="top"/>
          </w:tcPr>
          <w:p w14:paraId="31D78D01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Optic Connector</w:t>
            </w:r>
          </w:p>
        </w:tc>
        <w:tc>
          <w:tcPr>
            <w:tcW w:w="1544" w:type="pct"/>
            <w:noWrap/>
            <w:vAlign w:val="top"/>
          </w:tcPr>
          <w:p w14:paraId="78F66D83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8X FC/APC</w:t>
            </w:r>
          </w:p>
        </w:tc>
        <w:tc>
          <w:tcPr>
            <w:tcW w:w="1543" w:type="pct"/>
            <w:vAlign w:val="top"/>
          </w:tcPr>
          <w:p w14:paraId="4A39096D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1X LC/UPC</w:t>
            </w:r>
          </w:p>
        </w:tc>
      </w:tr>
      <w:tr w14:paraId="03D647F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0A1F8AC8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Fiber Optical Type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771BE2B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Single   Mode</w:t>
            </w:r>
          </w:p>
        </w:tc>
      </w:tr>
      <w:tr w14:paraId="11AA56E5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4E937BC3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Optical   Output Power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0AFFC80D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≥-9dBm</w:t>
            </w:r>
          </w:p>
        </w:tc>
      </w:tr>
      <w:tr w14:paraId="08B8CFB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21FDDDBB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Optical Receiver   Sensitivity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233022E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≤-20dBm</w:t>
            </w:r>
          </w:p>
        </w:tc>
      </w:tr>
      <w:tr w14:paraId="1235F21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4ED43D3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Temperature   Range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3F3C953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Operation: -25°C   ~ + 55°C</w:t>
            </w:r>
          </w:p>
        </w:tc>
      </w:tr>
      <w:tr w14:paraId="4EE42D24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3A96422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Relative Humidity   Range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31741F5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95% (non-Condensing)</w:t>
            </w:r>
          </w:p>
        </w:tc>
      </w:tr>
      <w:tr w14:paraId="09BE72B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22A4AFA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  Supply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22F41B0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AC 220V±44V/50±5Hz</w:t>
            </w:r>
          </w:p>
        </w:tc>
      </w:tr>
      <w:tr w14:paraId="30CF7AE4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vAlign w:val="top"/>
          </w:tcPr>
          <w:p w14:paraId="04353D2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Consumption</w:t>
            </w:r>
          </w:p>
        </w:tc>
        <w:tc>
          <w:tcPr>
            <w:tcW w:w="1544" w:type="pct"/>
            <w:noWrap/>
            <w:vAlign w:val="top"/>
          </w:tcPr>
          <w:p w14:paraId="24F66725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de-DE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25W</w:t>
            </w:r>
          </w:p>
        </w:tc>
        <w:tc>
          <w:tcPr>
            <w:tcW w:w="1543" w:type="pct"/>
            <w:vAlign w:val="top"/>
          </w:tcPr>
          <w:p w14:paraId="0976E22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de-DE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160W</w:t>
            </w:r>
          </w:p>
        </w:tc>
      </w:tr>
      <w:tr w14:paraId="290200E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vAlign w:val="top"/>
          </w:tcPr>
          <w:p w14:paraId="22AA4C8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Application</w:t>
            </w:r>
          </w:p>
        </w:tc>
        <w:tc>
          <w:tcPr>
            <w:tcW w:w="1544" w:type="pct"/>
            <w:shd w:val="clear" w:color="auto" w:fill="D0E6F6"/>
            <w:noWrap/>
            <w:vAlign w:val="top"/>
          </w:tcPr>
          <w:p w14:paraId="683F62A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Indoor (IP20)</w:t>
            </w:r>
          </w:p>
        </w:tc>
        <w:tc>
          <w:tcPr>
            <w:tcW w:w="1543" w:type="pct"/>
            <w:shd w:val="clear" w:color="auto" w:fill="D0E6F6"/>
            <w:vAlign w:val="top"/>
          </w:tcPr>
          <w:p w14:paraId="7A47A140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Indoor or Outdoor (IP65)</w:t>
            </w:r>
          </w:p>
        </w:tc>
      </w:tr>
      <w:tr w14:paraId="0E8D50BA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vAlign w:val="top"/>
          </w:tcPr>
          <w:p w14:paraId="4CE939B7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Dimensions</w:t>
            </w:r>
          </w:p>
        </w:tc>
        <w:tc>
          <w:tcPr>
            <w:tcW w:w="1544" w:type="pct"/>
            <w:noWrap/>
            <w:vAlign w:val="top"/>
          </w:tcPr>
          <w:p w14:paraId="714E9D1A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330*425*44mm   (19”1U)</w:t>
            </w:r>
          </w:p>
        </w:tc>
        <w:tc>
          <w:tcPr>
            <w:tcW w:w="1543" w:type="pct"/>
            <w:vAlign w:val="top"/>
          </w:tcPr>
          <w:p w14:paraId="2A580A3B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450*335*180mm</w:t>
            </w:r>
          </w:p>
        </w:tc>
      </w:tr>
      <w:tr w14:paraId="028DE514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vAlign w:val="top"/>
          </w:tcPr>
          <w:p w14:paraId="5E5EBA7F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Weight</w:t>
            </w:r>
          </w:p>
        </w:tc>
        <w:tc>
          <w:tcPr>
            <w:tcW w:w="1544" w:type="pct"/>
            <w:shd w:val="clear" w:color="auto" w:fill="D0E6F6"/>
            <w:noWrap/>
            <w:vAlign w:val="top"/>
          </w:tcPr>
          <w:p w14:paraId="3019432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8kgs</w:t>
            </w:r>
          </w:p>
        </w:tc>
        <w:tc>
          <w:tcPr>
            <w:tcW w:w="1543" w:type="pct"/>
            <w:shd w:val="clear" w:color="auto" w:fill="D0E6F6"/>
            <w:vAlign w:val="top"/>
          </w:tcPr>
          <w:p w14:paraId="73258C8D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20kgs</w:t>
            </w:r>
          </w:p>
        </w:tc>
      </w:tr>
    </w:tbl>
    <w:p w14:paraId="12C09A33">
      <w:pPr>
        <w:rPr>
          <w:rFonts w:hint="eastAsia"/>
          <w:color w:val="262626" w:themeColor="text1" w:themeTint="D9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</w:p>
    <w:p w14:paraId="28EA9A9A">
      <w:pP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Technical spec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ifi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cation is subject to change without prior notice.</w:t>
      </w:r>
    </w:p>
    <w:sectPr>
      <w:headerReference r:id="rId3" w:type="default"/>
      <w:footerReference r:id="rId4" w:type="default"/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思源黑体 CN Normal">
    <w:altName w:val="黑体"/>
    <w:panose1 w:val="020B0400000000000000"/>
    <w:charset w:val="86"/>
    <w:family w:val="swiss"/>
    <w:pitch w:val="default"/>
    <w:sig w:usb0="00000000" w:usb1="00000000" w:usb2="00000016" w:usb3="00000000" w:csb0="00060107" w:csb1="00000000"/>
  </w:font>
  <w:font w:name="KSOF954951BB">
    <w:panose1 w:val="02010609060101010101"/>
    <w:charset w:val="86"/>
    <w:family w:val="auto"/>
    <w:pitch w:val="default"/>
    <w:sig w:usb0="00000001" w:usb1="00000000" w:usb2="00000000" w:usb3="00000000" w:csb0="00060001" w:csb1="00000000"/>
  </w:font>
  <w:font w:name="KSOF9549C61A">
    <w:panose1 w:val="02010609060101010101"/>
    <w:charset w:val="86"/>
    <w:family w:val="auto"/>
    <w:pitch w:val="default"/>
    <w:sig w:usb0="00000001" w:usb1="00000000" w:usb2="00000000" w:usb3="00000000" w:csb0="0006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6A4A83">
    <w:pPr>
      <w:pStyle w:val="3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E0681">
    <w:pPr>
      <w:pStyle w:val="4"/>
      <w:pBdr>
        <w:bottom w:val="none" w:color="auto" w:sz="0" w:space="0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8522F8"/>
    <w:multiLevelType w:val="multilevel"/>
    <w:tmpl w:val="2C8522F8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8DE"/>
    <w:rsid w:val="000218DE"/>
    <w:rsid w:val="00023B91"/>
    <w:rsid w:val="000262EC"/>
    <w:rsid w:val="00027BE1"/>
    <w:rsid w:val="000318B2"/>
    <w:rsid w:val="00044C61"/>
    <w:rsid w:val="00050A4F"/>
    <w:rsid w:val="00074AB2"/>
    <w:rsid w:val="000C5793"/>
    <w:rsid w:val="000E6150"/>
    <w:rsid w:val="00110145"/>
    <w:rsid w:val="001123E5"/>
    <w:rsid w:val="00146F82"/>
    <w:rsid w:val="00147DF1"/>
    <w:rsid w:val="001540B0"/>
    <w:rsid w:val="001611CC"/>
    <w:rsid w:val="00171369"/>
    <w:rsid w:val="001718D5"/>
    <w:rsid w:val="00196114"/>
    <w:rsid w:val="001C435B"/>
    <w:rsid w:val="001D33C0"/>
    <w:rsid w:val="001E1838"/>
    <w:rsid w:val="00226A87"/>
    <w:rsid w:val="00227D77"/>
    <w:rsid w:val="00231E99"/>
    <w:rsid w:val="00232733"/>
    <w:rsid w:val="00244825"/>
    <w:rsid w:val="00244FB9"/>
    <w:rsid w:val="002839DE"/>
    <w:rsid w:val="002A27B1"/>
    <w:rsid w:val="002A7A39"/>
    <w:rsid w:val="002B282C"/>
    <w:rsid w:val="002B5A56"/>
    <w:rsid w:val="002D7739"/>
    <w:rsid w:val="002F0168"/>
    <w:rsid w:val="00325B3E"/>
    <w:rsid w:val="00357DE4"/>
    <w:rsid w:val="003633F7"/>
    <w:rsid w:val="00375D57"/>
    <w:rsid w:val="00393B18"/>
    <w:rsid w:val="003B2B8C"/>
    <w:rsid w:val="003B406D"/>
    <w:rsid w:val="003E6A81"/>
    <w:rsid w:val="003F35FE"/>
    <w:rsid w:val="0041230E"/>
    <w:rsid w:val="00416208"/>
    <w:rsid w:val="004309DD"/>
    <w:rsid w:val="00435F53"/>
    <w:rsid w:val="00455CB2"/>
    <w:rsid w:val="00477F23"/>
    <w:rsid w:val="004F110D"/>
    <w:rsid w:val="005121B9"/>
    <w:rsid w:val="00535868"/>
    <w:rsid w:val="00535D2E"/>
    <w:rsid w:val="00553F12"/>
    <w:rsid w:val="0055465E"/>
    <w:rsid w:val="00560BD3"/>
    <w:rsid w:val="00581F7D"/>
    <w:rsid w:val="005A6BBA"/>
    <w:rsid w:val="005B1890"/>
    <w:rsid w:val="005B57B8"/>
    <w:rsid w:val="005B713C"/>
    <w:rsid w:val="005D2558"/>
    <w:rsid w:val="005F08F8"/>
    <w:rsid w:val="005F1626"/>
    <w:rsid w:val="005F24BE"/>
    <w:rsid w:val="006072C1"/>
    <w:rsid w:val="00610C8C"/>
    <w:rsid w:val="006206DE"/>
    <w:rsid w:val="00623450"/>
    <w:rsid w:val="00645B40"/>
    <w:rsid w:val="00660675"/>
    <w:rsid w:val="00671833"/>
    <w:rsid w:val="00680FC6"/>
    <w:rsid w:val="006A5622"/>
    <w:rsid w:val="006B2CD5"/>
    <w:rsid w:val="006B4E88"/>
    <w:rsid w:val="006B690F"/>
    <w:rsid w:val="006C4695"/>
    <w:rsid w:val="006F72BA"/>
    <w:rsid w:val="00701270"/>
    <w:rsid w:val="00702C68"/>
    <w:rsid w:val="00703835"/>
    <w:rsid w:val="00704A72"/>
    <w:rsid w:val="007131E9"/>
    <w:rsid w:val="00737FD4"/>
    <w:rsid w:val="00752BA5"/>
    <w:rsid w:val="00765760"/>
    <w:rsid w:val="00775CE3"/>
    <w:rsid w:val="007A1B2A"/>
    <w:rsid w:val="007C3FEC"/>
    <w:rsid w:val="007D0926"/>
    <w:rsid w:val="007D2C82"/>
    <w:rsid w:val="007D7FCB"/>
    <w:rsid w:val="00806BC2"/>
    <w:rsid w:val="00870776"/>
    <w:rsid w:val="00882737"/>
    <w:rsid w:val="008843F6"/>
    <w:rsid w:val="008A6607"/>
    <w:rsid w:val="008A6706"/>
    <w:rsid w:val="008B25F6"/>
    <w:rsid w:val="008B2863"/>
    <w:rsid w:val="008D7320"/>
    <w:rsid w:val="008E6E4F"/>
    <w:rsid w:val="00921CF8"/>
    <w:rsid w:val="0095122D"/>
    <w:rsid w:val="0096413B"/>
    <w:rsid w:val="00965C9B"/>
    <w:rsid w:val="00973391"/>
    <w:rsid w:val="009A4F11"/>
    <w:rsid w:val="009B4013"/>
    <w:rsid w:val="009E77CE"/>
    <w:rsid w:val="00A1201E"/>
    <w:rsid w:val="00A24E87"/>
    <w:rsid w:val="00A31221"/>
    <w:rsid w:val="00A44517"/>
    <w:rsid w:val="00A5756B"/>
    <w:rsid w:val="00A57715"/>
    <w:rsid w:val="00A82B8D"/>
    <w:rsid w:val="00A83666"/>
    <w:rsid w:val="00AB649F"/>
    <w:rsid w:val="00AC64A1"/>
    <w:rsid w:val="00B02885"/>
    <w:rsid w:val="00B10161"/>
    <w:rsid w:val="00B14EFB"/>
    <w:rsid w:val="00B25CBE"/>
    <w:rsid w:val="00B360F6"/>
    <w:rsid w:val="00B65B42"/>
    <w:rsid w:val="00B6609E"/>
    <w:rsid w:val="00B66367"/>
    <w:rsid w:val="00B82EDD"/>
    <w:rsid w:val="00B83EEF"/>
    <w:rsid w:val="00BA1117"/>
    <w:rsid w:val="00BA35F7"/>
    <w:rsid w:val="00BC641C"/>
    <w:rsid w:val="00BC69D9"/>
    <w:rsid w:val="00BD235C"/>
    <w:rsid w:val="00BE4C94"/>
    <w:rsid w:val="00BF41C6"/>
    <w:rsid w:val="00BF4646"/>
    <w:rsid w:val="00C05771"/>
    <w:rsid w:val="00C22383"/>
    <w:rsid w:val="00C25AEF"/>
    <w:rsid w:val="00C334A2"/>
    <w:rsid w:val="00C6009F"/>
    <w:rsid w:val="00C76026"/>
    <w:rsid w:val="00C807FB"/>
    <w:rsid w:val="00C83870"/>
    <w:rsid w:val="00CB5AFB"/>
    <w:rsid w:val="00CC4B7B"/>
    <w:rsid w:val="00CC697A"/>
    <w:rsid w:val="00CD5573"/>
    <w:rsid w:val="00CE2441"/>
    <w:rsid w:val="00CE4F7C"/>
    <w:rsid w:val="00D02C52"/>
    <w:rsid w:val="00D24D83"/>
    <w:rsid w:val="00D571BF"/>
    <w:rsid w:val="00D66ED3"/>
    <w:rsid w:val="00D96300"/>
    <w:rsid w:val="00DA1F99"/>
    <w:rsid w:val="00DA5783"/>
    <w:rsid w:val="00DC16EB"/>
    <w:rsid w:val="00DD22F8"/>
    <w:rsid w:val="00DD4B8C"/>
    <w:rsid w:val="00DE4365"/>
    <w:rsid w:val="00E02554"/>
    <w:rsid w:val="00E03A88"/>
    <w:rsid w:val="00E115F2"/>
    <w:rsid w:val="00E175A1"/>
    <w:rsid w:val="00E41E5B"/>
    <w:rsid w:val="00E41F34"/>
    <w:rsid w:val="00E72BBB"/>
    <w:rsid w:val="00E756F3"/>
    <w:rsid w:val="00E83695"/>
    <w:rsid w:val="00E918E1"/>
    <w:rsid w:val="00E936EA"/>
    <w:rsid w:val="00EA5FDD"/>
    <w:rsid w:val="00EB49B7"/>
    <w:rsid w:val="00F027D4"/>
    <w:rsid w:val="00F15E73"/>
    <w:rsid w:val="00F32830"/>
    <w:rsid w:val="00F32EA6"/>
    <w:rsid w:val="00F42C56"/>
    <w:rsid w:val="00F46160"/>
    <w:rsid w:val="00F80625"/>
    <w:rsid w:val="00F91428"/>
    <w:rsid w:val="00FB37D1"/>
    <w:rsid w:val="00FC2AE1"/>
    <w:rsid w:val="00FD1D5B"/>
    <w:rsid w:val="00FF0CDC"/>
    <w:rsid w:val="00FF3336"/>
    <w:rsid w:val="01B51678"/>
    <w:rsid w:val="2A732159"/>
    <w:rsid w:val="5758495A"/>
    <w:rsid w:val="59954240"/>
    <w:rsid w:val="5E615E65"/>
    <w:rsid w:val="7D660828"/>
    <w:rsid w:val="7FCB7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Emphasis"/>
    <w:basedOn w:val="7"/>
    <w:qFormat/>
    <w:uiPriority w:val="20"/>
    <w:rPr>
      <w:i/>
      <w:iCs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table" w:customStyle="1" w:styleId="11">
    <w:name w:val="清单表 4 - 着色 21"/>
    <w:basedOn w:val="6"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2">
    <w:name w:val="List Table 4 Accent 2"/>
    <w:basedOn w:val="6"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3">
    <w:name w:val="清单表 4 - 着色 22"/>
    <w:basedOn w:val="6"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4">
    <w:name w:val="网格表 4 - 着色 21"/>
    <w:basedOn w:val="6"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  <w:insideV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  <w:insideV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2683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5">
    <w:name w:val="Grid Table 4 Accent 2"/>
    <w:basedOn w:val="6"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character" w:customStyle="1" w:styleId="16">
    <w:name w:val="标题 2 字符"/>
    <w:basedOn w:val="7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7">
    <w:name w:val="Book Title"/>
    <w:basedOn w:val="7"/>
    <w:qFormat/>
    <w:uiPriority w:val="33"/>
    <w:rPr>
      <w:b/>
      <w:bCs/>
      <w:i/>
      <w:iCs/>
      <w:spacing w:val="5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232</Words>
  <Characters>1303</Characters>
  <Lines>13</Lines>
  <Paragraphs>3</Paragraphs>
  <TotalTime>11</TotalTime>
  <ScaleCrop>false</ScaleCrop>
  <LinksUpToDate>false</LinksUpToDate>
  <CharactersWithSpaces>1491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2024-12-11T06:35:00Z</dcterms:created>
  <dc:creator>Chi Wei</dc:creator>
  <cp:lastModifiedBy>温伟</cp:lastModifiedBy>
  <cp:lastPrinted>2024-12-18T06:11:00Z</cp:lastPrinted>
  <dcterms:modified xsi:type="dcterms:W3CDTF">2026-06-10T06:49:06Z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eyJoZGlkIjoiNmRlY2E1NjI0ZjM4ZDM2NTVlNGE2ZjMzYTAzMTBiOTUiLCJ1c2VySWQiOiI3NDQ5MDEzNTUifQ==</vt:lpwstr>
  </property>
  <property fmtid="{D5CDD505-2E9C-101B-9397-08002B2CF9AE}" pid="3" name="KSOProductBuildVer">
    <vt:lpwstr>2052-12.1.0.26375</vt:lpwstr>
  </property>
  <property fmtid="{D5CDD505-2E9C-101B-9397-08002B2CF9AE}" pid="4" name="ICV">
    <vt:lpwstr>264F79AAB4AE47BFADD3E7AA81273132_13</vt:lpwstr>
  </property>
</Properties>
</file>